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29EDC" w14:textId="77777777" w:rsidR="00B137DB" w:rsidRDefault="00B137DB" w:rsidP="00B137DB">
      <w:pPr>
        <w:spacing w:after="0" w:line="276" w:lineRule="auto"/>
        <w:jc w:val="center"/>
        <w:rPr>
          <w:b/>
          <w:bCs/>
          <w:sz w:val="18"/>
          <w:szCs w:val="18"/>
          <w:lang w:val="es"/>
        </w:rPr>
      </w:pPr>
    </w:p>
    <w:p w14:paraId="592D0429" w14:textId="1A56B5A1" w:rsidR="00B137DB" w:rsidRPr="00B137DB" w:rsidRDefault="00B137DB" w:rsidP="00B137DB">
      <w:pPr>
        <w:spacing w:after="0" w:line="276" w:lineRule="auto"/>
        <w:jc w:val="center"/>
        <w:rPr>
          <w:b/>
          <w:bCs/>
          <w:sz w:val="18"/>
          <w:szCs w:val="18"/>
          <w:lang w:val="es"/>
        </w:rPr>
      </w:pPr>
      <w:r w:rsidRPr="00B137DB">
        <w:rPr>
          <w:b/>
          <w:bCs/>
          <w:sz w:val="18"/>
          <w:szCs w:val="18"/>
          <w:lang w:val="es"/>
        </w:rPr>
        <w:t>Convocatoria para recepción de propuestas</w:t>
      </w:r>
    </w:p>
    <w:p w14:paraId="2F058B03" w14:textId="77777777" w:rsidR="00B137DB" w:rsidRPr="00B137DB" w:rsidRDefault="00B137DB" w:rsidP="00B137DB">
      <w:pPr>
        <w:spacing w:after="0" w:line="276" w:lineRule="auto"/>
        <w:jc w:val="center"/>
        <w:rPr>
          <w:sz w:val="18"/>
          <w:szCs w:val="18"/>
          <w:lang w:val="es"/>
        </w:rPr>
      </w:pPr>
      <w:r w:rsidRPr="00B137DB">
        <w:rPr>
          <w:b/>
          <w:bCs/>
          <w:sz w:val="18"/>
          <w:szCs w:val="18"/>
          <w:lang w:val="es"/>
        </w:rPr>
        <w:t>Quinto Coloquio “Vitrinas: estéticas y retóricas a través del cristal”</w:t>
      </w:r>
    </w:p>
    <w:p w14:paraId="02B2BE12" w14:textId="77777777" w:rsidR="00B137DB" w:rsidRPr="00B137DB" w:rsidRDefault="00B137DB" w:rsidP="00B137DB">
      <w:pPr>
        <w:spacing w:after="0" w:line="276" w:lineRule="auto"/>
        <w:jc w:val="both"/>
        <w:rPr>
          <w:sz w:val="18"/>
          <w:szCs w:val="18"/>
          <w:lang w:val="es"/>
        </w:rPr>
      </w:pPr>
    </w:p>
    <w:p w14:paraId="1E32730F" w14:textId="77777777" w:rsidR="00B137DB" w:rsidRPr="00B137DB" w:rsidRDefault="00B137DB" w:rsidP="00B137DB">
      <w:pPr>
        <w:spacing w:after="0" w:line="276" w:lineRule="auto"/>
        <w:jc w:val="both"/>
        <w:rPr>
          <w:sz w:val="18"/>
          <w:szCs w:val="18"/>
          <w:lang w:val="es"/>
        </w:rPr>
      </w:pPr>
      <w:r w:rsidRPr="00B137DB">
        <w:rPr>
          <w:sz w:val="18"/>
          <w:szCs w:val="18"/>
          <w:lang w:val="es"/>
        </w:rPr>
        <w:t xml:space="preserve">Hace 100 años, el filósofo alemán Walter </w:t>
      </w:r>
      <w:proofErr w:type="spellStart"/>
      <w:r w:rsidRPr="00B137DB">
        <w:rPr>
          <w:sz w:val="18"/>
          <w:szCs w:val="18"/>
          <w:lang w:val="es"/>
        </w:rPr>
        <w:t>Benjamin</w:t>
      </w:r>
      <w:proofErr w:type="spellEnd"/>
      <w:r w:rsidRPr="00B137DB">
        <w:rPr>
          <w:sz w:val="18"/>
          <w:szCs w:val="18"/>
          <w:lang w:val="es"/>
        </w:rPr>
        <w:t xml:space="preserve"> escribía su célebre </w:t>
      </w:r>
      <w:r w:rsidRPr="00B137DB">
        <w:rPr>
          <w:i/>
          <w:iCs/>
          <w:sz w:val="18"/>
          <w:szCs w:val="18"/>
          <w:lang w:val="es"/>
        </w:rPr>
        <w:t xml:space="preserve">Diario de Moscú. </w:t>
      </w:r>
      <w:r w:rsidRPr="00B137DB">
        <w:rPr>
          <w:sz w:val="18"/>
          <w:szCs w:val="18"/>
          <w:lang w:val="es"/>
        </w:rPr>
        <w:t xml:space="preserve">Sus páginas testimonian, con una curiosidad y franquezas únicas, su estadía de dos meses en la capital rusa. En la entrada del día 11 de diciembre de 1926 puede leerse: “En la </w:t>
      </w:r>
      <w:proofErr w:type="spellStart"/>
      <w:r w:rsidRPr="00B137DB">
        <w:rPr>
          <w:sz w:val="18"/>
          <w:szCs w:val="18"/>
          <w:lang w:val="es"/>
        </w:rPr>
        <w:t>Petrovka</w:t>
      </w:r>
      <w:proofErr w:type="spellEnd"/>
      <w:r w:rsidRPr="00B137DB">
        <w:rPr>
          <w:sz w:val="18"/>
          <w:szCs w:val="18"/>
          <w:lang w:val="es"/>
        </w:rPr>
        <w:t xml:space="preserve"> estuvimos mirando escaparates. Me llamó la atención una tienda maravillosa de artículos de madera. Tienen esos huevos rusos de varias capas, cajitas que se introducen unas en otras, animales tallados de una hermosa y blanca madera. En otro escaparate podían verse encajes rusos y paños bordados en los que, según me dijo Asia, las campesinas reproducen las rosetas de escarcha de las ventanas”. La mirada de </w:t>
      </w:r>
      <w:proofErr w:type="spellStart"/>
      <w:r w:rsidRPr="00B137DB">
        <w:rPr>
          <w:sz w:val="18"/>
          <w:szCs w:val="18"/>
          <w:lang w:val="es"/>
        </w:rPr>
        <w:t>Benjamin</w:t>
      </w:r>
      <w:proofErr w:type="spellEnd"/>
      <w:r w:rsidRPr="00B137DB">
        <w:rPr>
          <w:sz w:val="18"/>
          <w:szCs w:val="18"/>
          <w:lang w:val="es"/>
        </w:rPr>
        <w:t xml:space="preserve"> es la del viajero que comprende la vitrina como sinopsis de lo que el territorio está por ofrecerle, como fuente de </w:t>
      </w:r>
      <w:r w:rsidRPr="00B137DB">
        <w:rPr>
          <w:i/>
          <w:iCs/>
          <w:sz w:val="18"/>
          <w:szCs w:val="18"/>
          <w:lang w:val="es"/>
        </w:rPr>
        <w:t>souvenir</w:t>
      </w:r>
      <w:r w:rsidRPr="00B137DB">
        <w:rPr>
          <w:sz w:val="18"/>
          <w:szCs w:val="18"/>
          <w:lang w:val="es"/>
        </w:rPr>
        <w:t xml:space="preserve">. </w:t>
      </w:r>
      <w:proofErr w:type="gramStart"/>
      <w:r w:rsidRPr="00B137DB">
        <w:rPr>
          <w:sz w:val="18"/>
          <w:szCs w:val="18"/>
          <w:lang w:val="es"/>
        </w:rPr>
        <w:t>Pero</w:t>
      </w:r>
      <w:proofErr w:type="gramEnd"/>
      <w:r w:rsidRPr="00B137DB">
        <w:rPr>
          <w:sz w:val="18"/>
          <w:szCs w:val="18"/>
          <w:lang w:val="es"/>
        </w:rPr>
        <w:t xml:space="preserve"> así como se maravilla con el escaparate ajeno –también lo experimentó transitando por los pasajes parisinos–, su ojo admira el de su ciudad natal, el de sus museos, el de su casa de infancia.</w:t>
      </w:r>
    </w:p>
    <w:p w14:paraId="1074DAF9" w14:textId="77777777" w:rsidR="00B137DB" w:rsidRPr="00B137DB" w:rsidRDefault="00B137DB" w:rsidP="00B137DB">
      <w:pPr>
        <w:spacing w:after="0" w:line="276" w:lineRule="auto"/>
        <w:jc w:val="both"/>
        <w:rPr>
          <w:sz w:val="18"/>
          <w:szCs w:val="18"/>
          <w:lang w:val="es"/>
        </w:rPr>
      </w:pPr>
    </w:p>
    <w:p w14:paraId="6E0148BD" w14:textId="77777777" w:rsidR="00B137DB" w:rsidRPr="00B137DB" w:rsidRDefault="00B137DB" w:rsidP="00B137DB">
      <w:pPr>
        <w:spacing w:after="0" w:line="276" w:lineRule="auto"/>
        <w:jc w:val="both"/>
        <w:rPr>
          <w:sz w:val="18"/>
          <w:szCs w:val="18"/>
          <w:lang w:val="es"/>
        </w:rPr>
      </w:pPr>
      <w:r w:rsidRPr="00B137DB">
        <w:rPr>
          <w:sz w:val="18"/>
          <w:szCs w:val="18"/>
          <w:lang w:val="es"/>
        </w:rPr>
        <w:t xml:space="preserve">Tomando como puntapié este centenario, la Escuela de Literatura de la Universidad Finis Terrae convoca al </w:t>
      </w:r>
      <w:r w:rsidRPr="00B137DB">
        <w:rPr>
          <w:b/>
          <w:bCs/>
          <w:sz w:val="18"/>
          <w:szCs w:val="18"/>
          <w:lang w:val="es"/>
        </w:rPr>
        <w:t>Quinto Coloquio “Vitrinas: estéticas y retóricas a través del cristal”</w:t>
      </w:r>
      <w:r w:rsidRPr="00B137DB">
        <w:rPr>
          <w:sz w:val="18"/>
          <w:szCs w:val="18"/>
          <w:lang w:val="es"/>
        </w:rPr>
        <w:t xml:space="preserve">, que se realizará el </w:t>
      </w:r>
      <w:proofErr w:type="gramStart"/>
      <w:r w:rsidRPr="00B137DB">
        <w:rPr>
          <w:sz w:val="18"/>
          <w:szCs w:val="18"/>
          <w:lang w:val="es"/>
        </w:rPr>
        <w:t xml:space="preserve">día </w:t>
      </w:r>
      <w:r w:rsidRPr="00B137DB">
        <w:rPr>
          <w:b/>
          <w:bCs/>
          <w:sz w:val="18"/>
          <w:szCs w:val="18"/>
          <w:lang w:val="es"/>
        </w:rPr>
        <w:t>jueves</w:t>
      </w:r>
      <w:proofErr w:type="gramEnd"/>
      <w:r w:rsidRPr="00B137DB">
        <w:rPr>
          <w:b/>
          <w:bCs/>
          <w:sz w:val="18"/>
          <w:szCs w:val="18"/>
          <w:lang w:val="es"/>
        </w:rPr>
        <w:t xml:space="preserve"> 5 de noviembre de 2026 en Casa Central </w:t>
      </w:r>
      <w:r w:rsidRPr="00B137DB">
        <w:rPr>
          <w:sz w:val="18"/>
          <w:szCs w:val="18"/>
          <w:lang w:val="es"/>
        </w:rPr>
        <w:t xml:space="preserve">(Av. Pedro de Valdivia 1509, Providencia). Desde el año 2021, este encuentro ha promovido la reflexión en torno a la vitrina como artefacto de mobiliario doméstico, mercantil y </w:t>
      </w:r>
      <w:proofErr w:type="gramStart"/>
      <w:r w:rsidRPr="00B137DB">
        <w:rPr>
          <w:sz w:val="18"/>
          <w:szCs w:val="18"/>
          <w:lang w:val="es"/>
        </w:rPr>
        <w:t>museográfico</w:t>
      </w:r>
      <w:proofErr w:type="gramEnd"/>
      <w:r w:rsidRPr="00B137DB">
        <w:rPr>
          <w:sz w:val="18"/>
          <w:szCs w:val="18"/>
          <w:lang w:val="es"/>
        </w:rPr>
        <w:t xml:space="preserve"> así como tema literario y artístico, contando con participantes nacionales e internacionales, provenientes de la historia de la moda, la publicidad, la historia del arte, el diseño industrial, la fotografía, la literatura, la estética y el diseño escénico, entre otras disciplinas y quehaceres. Este encuentro, a diferencia de los anteriores, se realizará exclusivamente en modalidad presencial.</w:t>
      </w:r>
    </w:p>
    <w:p w14:paraId="42506309" w14:textId="77777777" w:rsidR="00B137DB" w:rsidRPr="00B137DB" w:rsidRDefault="00B137DB" w:rsidP="00B137DB">
      <w:pPr>
        <w:spacing w:after="0" w:line="276" w:lineRule="auto"/>
        <w:jc w:val="both"/>
        <w:rPr>
          <w:sz w:val="18"/>
          <w:szCs w:val="18"/>
          <w:highlight w:val="yellow"/>
          <w:lang w:val="es"/>
        </w:rPr>
      </w:pPr>
    </w:p>
    <w:p w14:paraId="20F42B29" w14:textId="77777777" w:rsidR="00B137DB" w:rsidRPr="00B137DB" w:rsidRDefault="00B137DB" w:rsidP="00B137DB">
      <w:pPr>
        <w:spacing w:after="0" w:line="276" w:lineRule="auto"/>
        <w:jc w:val="both"/>
        <w:rPr>
          <w:sz w:val="18"/>
          <w:szCs w:val="18"/>
          <w:lang w:val="es"/>
        </w:rPr>
      </w:pPr>
      <w:r w:rsidRPr="00B137DB">
        <w:rPr>
          <w:sz w:val="18"/>
          <w:szCs w:val="18"/>
          <w:lang w:val="es"/>
        </w:rPr>
        <w:t xml:space="preserve">Con el fin de orientar sus propuestas, ofrecemos aquí </w:t>
      </w:r>
      <w:r w:rsidRPr="00B137DB">
        <w:rPr>
          <w:b/>
          <w:bCs/>
          <w:sz w:val="18"/>
          <w:szCs w:val="18"/>
          <w:lang w:val="es"/>
        </w:rPr>
        <w:t xml:space="preserve">algunos ejes temáticos </w:t>
      </w:r>
      <w:proofErr w:type="gramStart"/>
      <w:r w:rsidRPr="00B137DB">
        <w:rPr>
          <w:b/>
          <w:bCs/>
          <w:sz w:val="18"/>
          <w:szCs w:val="18"/>
          <w:lang w:val="es"/>
        </w:rPr>
        <w:t>posibles</w:t>
      </w:r>
      <w:proofErr w:type="gramEnd"/>
      <w:r w:rsidRPr="00B137DB">
        <w:rPr>
          <w:b/>
          <w:bCs/>
          <w:sz w:val="18"/>
          <w:szCs w:val="18"/>
          <w:lang w:val="es"/>
        </w:rPr>
        <w:t xml:space="preserve"> pero no excluyentes</w:t>
      </w:r>
      <w:r w:rsidRPr="00B137DB">
        <w:rPr>
          <w:sz w:val="18"/>
          <w:szCs w:val="18"/>
          <w:lang w:val="es"/>
        </w:rPr>
        <w:t>:</w:t>
      </w:r>
    </w:p>
    <w:p w14:paraId="52288408" w14:textId="77777777" w:rsidR="00B137DB" w:rsidRPr="00B137DB" w:rsidRDefault="00B137DB" w:rsidP="00B137DB">
      <w:pPr>
        <w:spacing w:after="0" w:line="276" w:lineRule="auto"/>
        <w:jc w:val="both"/>
        <w:rPr>
          <w:sz w:val="18"/>
          <w:szCs w:val="18"/>
          <w:lang w:val="es"/>
        </w:rPr>
      </w:pPr>
    </w:p>
    <w:p w14:paraId="775E1353"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 xml:space="preserve">La vitrina y sus representaciones iconográficas, literarias y audiovisuales </w:t>
      </w:r>
    </w:p>
    <w:p w14:paraId="6F1850FC"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Vitrinas, museos y coleccionismo</w:t>
      </w:r>
    </w:p>
    <w:p w14:paraId="12E7BAE0"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La vitrina mercantil en la era de la compra virtual</w:t>
      </w:r>
    </w:p>
    <w:p w14:paraId="5EF8E96E"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 xml:space="preserve">Vitrinas y fachadas </w:t>
      </w:r>
    </w:p>
    <w:p w14:paraId="0E201ACC"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Ventanas, marcos y otras formas de circunscribir el espacio doméstico, museográfico o urbano</w:t>
      </w:r>
    </w:p>
    <w:p w14:paraId="00B0C4ED"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Vitrinas, carteles y etiquetas</w:t>
      </w:r>
    </w:p>
    <w:p w14:paraId="187F7026"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 xml:space="preserve">Vitrinas y </w:t>
      </w:r>
      <w:proofErr w:type="spellStart"/>
      <w:r w:rsidRPr="00B137DB">
        <w:rPr>
          <w:i/>
          <w:iCs/>
          <w:sz w:val="18"/>
          <w:szCs w:val="18"/>
          <w:highlight w:val="white"/>
          <w:lang w:val="es"/>
        </w:rPr>
        <w:t>flânerie</w:t>
      </w:r>
      <w:proofErr w:type="spellEnd"/>
    </w:p>
    <w:p w14:paraId="6BFE102F"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La vitrina como escena</w:t>
      </w:r>
    </w:p>
    <w:p w14:paraId="0CBFD121"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El vitrineo sin vidrio: la feria libre, el persa</w:t>
      </w:r>
    </w:p>
    <w:p w14:paraId="35C68607"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Vitrina y moda</w:t>
      </w:r>
    </w:p>
    <w:p w14:paraId="1C10865F"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La vitrina como objeto en sí mismo</w:t>
      </w:r>
    </w:p>
    <w:p w14:paraId="40FFBD75"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 xml:space="preserve">Otros artefactos </w:t>
      </w:r>
      <w:proofErr w:type="spellStart"/>
      <w:r w:rsidRPr="00B137DB">
        <w:rPr>
          <w:sz w:val="18"/>
          <w:szCs w:val="18"/>
          <w:lang w:val="es"/>
        </w:rPr>
        <w:t>exhibitivos</w:t>
      </w:r>
      <w:proofErr w:type="spellEnd"/>
      <w:r w:rsidRPr="00B137DB">
        <w:rPr>
          <w:sz w:val="18"/>
          <w:szCs w:val="18"/>
          <w:lang w:val="es"/>
        </w:rPr>
        <w:t xml:space="preserve"> de la casa, el arte y el comercio</w:t>
      </w:r>
    </w:p>
    <w:p w14:paraId="2E140E44" w14:textId="77777777" w:rsidR="00B137DB" w:rsidRPr="00B137DB" w:rsidRDefault="00B137DB" w:rsidP="00B137DB">
      <w:pPr>
        <w:numPr>
          <w:ilvl w:val="0"/>
          <w:numId w:val="1"/>
        </w:numPr>
        <w:spacing w:after="0" w:line="276" w:lineRule="auto"/>
        <w:jc w:val="both"/>
        <w:rPr>
          <w:sz w:val="18"/>
          <w:szCs w:val="18"/>
          <w:lang w:val="es"/>
        </w:rPr>
      </w:pPr>
      <w:r w:rsidRPr="00B137DB">
        <w:rPr>
          <w:sz w:val="18"/>
          <w:szCs w:val="18"/>
          <w:lang w:val="es"/>
        </w:rPr>
        <w:t>El libro como vitrina</w:t>
      </w:r>
    </w:p>
    <w:p w14:paraId="52741B99" w14:textId="77777777" w:rsidR="00B137DB" w:rsidRPr="00B137DB" w:rsidRDefault="00B137DB" w:rsidP="00B137DB">
      <w:pPr>
        <w:spacing w:after="0" w:line="276" w:lineRule="auto"/>
        <w:ind w:left="720"/>
        <w:jc w:val="both"/>
        <w:rPr>
          <w:sz w:val="18"/>
          <w:szCs w:val="18"/>
          <w:lang w:val="es"/>
        </w:rPr>
      </w:pPr>
    </w:p>
    <w:p w14:paraId="4B538EB4" w14:textId="77777777" w:rsidR="00B137DB" w:rsidRPr="00B137DB" w:rsidRDefault="00B137DB" w:rsidP="00B137DB">
      <w:pPr>
        <w:spacing w:after="0" w:line="276" w:lineRule="auto"/>
        <w:jc w:val="both"/>
        <w:rPr>
          <w:i/>
          <w:iCs/>
          <w:sz w:val="18"/>
          <w:szCs w:val="18"/>
          <w:lang w:val="es"/>
        </w:rPr>
      </w:pPr>
    </w:p>
    <w:p w14:paraId="5F966C3A" w14:textId="77777777" w:rsidR="00B137DB" w:rsidRPr="00B137DB" w:rsidRDefault="00B137DB" w:rsidP="00B137DB">
      <w:pPr>
        <w:spacing w:after="0" w:line="276" w:lineRule="auto"/>
        <w:jc w:val="both"/>
        <w:rPr>
          <w:sz w:val="18"/>
          <w:szCs w:val="18"/>
          <w:lang w:val="es"/>
        </w:rPr>
      </w:pPr>
      <w:r w:rsidRPr="00B137DB">
        <w:rPr>
          <w:sz w:val="18"/>
          <w:szCs w:val="18"/>
          <w:lang w:val="es"/>
        </w:rPr>
        <w:t xml:space="preserve">El </w:t>
      </w:r>
      <w:r w:rsidRPr="00B137DB">
        <w:rPr>
          <w:b/>
          <w:bCs/>
          <w:sz w:val="18"/>
          <w:szCs w:val="18"/>
          <w:lang w:val="es"/>
        </w:rPr>
        <w:t xml:space="preserve">envío de propuestas debe realizarse hasta el lunes 14 de septiembre al correo </w:t>
      </w:r>
      <w:hyperlink r:id="rId8">
        <w:r w:rsidRPr="00B137DB">
          <w:rPr>
            <w:b/>
            <w:bCs/>
            <w:sz w:val="18"/>
            <w:szCs w:val="18"/>
            <w:lang w:val="es"/>
          </w:rPr>
          <w:t>lcasanuevar@uft.</w:t>
        </w:r>
      </w:hyperlink>
      <w:r w:rsidRPr="00B137DB">
        <w:rPr>
          <w:b/>
          <w:bCs/>
          <w:sz w:val="18"/>
          <w:szCs w:val="18"/>
          <w:lang w:val="es"/>
        </w:rPr>
        <w:t xml:space="preserve">edu </w:t>
      </w:r>
      <w:r w:rsidRPr="00B137DB">
        <w:rPr>
          <w:sz w:val="18"/>
          <w:szCs w:val="18"/>
          <w:lang w:val="es"/>
        </w:rPr>
        <w:t>bajo el asunto “Quinto Coloquio Vitrinas”, adjuntando un archivo Word o PDF que incluya:</w:t>
      </w:r>
    </w:p>
    <w:p w14:paraId="28C2C8EF" w14:textId="77777777" w:rsidR="00B137DB" w:rsidRPr="00B137DB" w:rsidRDefault="00B137DB" w:rsidP="00B137DB">
      <w:pPr>
        <w:spacing w:after="0" w:line="276" w:lineRule="auto"/>
        <w:jc w:val="both"/>
        <w:rPr>
          <w:sz w:val="18"/>
          <w:szCs w:val="18"/>
          <w:lang w:val="es"/>
        </w:rPr>
      </w:pPr>
    </w:p>
    <w:p w14:paraId="53A346D3" w14:textId="77777777" w:rsidR="00B137DB" w:rsidRPr="00B137DB" w:rsidRDefault="00B137DB" w:rsidP="00B137DB">
      <w:pPr>
        <w:numPr>
          <w:ilvl w:val="0"/>
          <w:numId w:val="2"/>
        </w:numPr>
        <w:spacing w:after="0" w:line="276" w:lineRule="auto"/>
        <w:jc w:val="both"/>
        <w:rPr>
          <w:sz w:val="18"/>
          <w:szCs w:val="18"/>
          <w:lang w:val="es"/>
        </w:rPr>
      </w:pPr>
      <w:r w:rsidRPr="00B137DB">
        <w:rPr>
          <w:sz w:val="18"/>
          <w:szCs w:val="18"/>
          <w:lang w:val="es"/>
        </w:rPr>
        <w:t>Nombre completo del/la ponente</w:t>
      </w:r>
    </w:p>
    <w:p w14:paraId="39E0E9DD" w14:textId="77777777" w:rsidR="00B137DB" w:rsidRPr="00B137DB" w:rsidRDefault="00B137DB" w:rsidP="00B137DB">
      <w:pPr>
        <w:numPr>
          <w:ilvl w:val="0"/>
          <w:numId w:val="2"/>
        </w:numPr>
        <w:spacing w:after="0" w:line="276" w:lineRule="auto"/>
        <w:jc w:val="both"/>
        <w:rPr>
          <w:sz w:val="18"/>
          <w:szCs w:val="18"/>
          <w:lang w:val="es"/>
        </w:rPr>
      </w:pPr>
      <w:r w:rsidRPr="00B137DB">
        <w:rPr>
          <w:sz w:val="18"/>
          <w:szCs w:val="18"/>
          <w:lang w:val="es"/>
        </w:rPr>
        <w:t>Filiación institucional y breve semblanza</w:t>
      </w:r>
    </w:p>
    <w:p w14:paraId="04789BA1" w14:textId="77777777" w:rsidR="00B137DB" w:rsidRPr="00B137DB" w:rsidRDefault="00B137DB" w:rsidP="00B137DB">
      <w:pPr>
        <w:numPr>
          <w:ilvl w:val="0"/>
          <w:numId w:val="2"/>
        </w:numPr>
        <w:spacing w:after="0" w:line="276" w:lineRule="auto"/>
        <w:jc w:val="both"/>
        <w:rPr>
          <w:sz w:val="18"/>
          <w:szCs w:val="18"/>
          <w:lang w:val="es"/>
        </w:rPr>
      </w:pPr>
      <w:r w:rsidRPr="00B137DB">
        <w:rPr>
          <w:sz w:val="18"/>
          <w:szCs w:val="18"/>
          <w:lang w:val="es"/>
        </w:rPr>
        <w:t>Título de la propuesta</w:t>
      </w:r>
    </w:p>
    <w:p w14:paraId="21F728E3" w14:textId="77777777" w:rsidR="00B137DB" w:rsidRPr="00B137DB" w:rsidRDefault="00B137DB" w:rsidP="00B137DB">
      <w:pPr>
        <w:numPr>
          <w:ilvl w:val="0"/>
          <w:numId w:val="2"/>
        </w:numPr>
        <w:spacing w:after="0" w:line="276" w:lineRule="auto"/>
        <w:jc w:val="both"/>
        <w:rPr>
          <w:sz w:val="18"/>
          <w:szCs w:val="18"/>
          <w:lang w:val="es"/>
        </w:rPr>
      </w:pPr>
      <w:r w:rsidRPr="00B137DB">
        <w:rPr>
          <w:sz w:val="18"/>
          <w:szCs w:val="18"/>
          <w:lang w:val="es"/>
        </w:rPr>
        <w:t>Resumen de 1 página (máximo 1 y media), fuente Calibri o Arial 12, interlineado 1,5 y alineación justificada.</w:t>
      </w:r>
    </w:p>
    <w:p w14:paraId="21E84530" w14:textId="77777777" w:rsidR="00B137DB" w:rsidRPr="00B137DB" w:rsidRDefault="00B137DB" w:rsidP="00B137DB">
      <w:pPr>
        <w:spacing w:after="0" w:line="276" w:lineRule="auto"/>
        <w:jc w:val="both"/>
        <w:rPr>
          <w:b/>
          <w:bCs/>
          <w:sz w:val="18"/>
          <w:szCs w:val="18"/>
          <w:lang w:val="es"/>
        </w:rPr>
      </w:pPr>
    </w:p>
    <w:p w14:paraId="66B3092B" w14:textId="77777777" w:rsidR="00B137DB" w:rsidRPr="00B137DB" w:rsidRDefault="00B137DB" w:rsidP="00B137DB">
      <w:pPr>
        <w:spacing w:after="0" w:line="276" w:lineRule="auto"/>
        <w:jc w:val="both"/>
        <w:rPr>
          <w:b/>
          <w:bCs/>
          <w:sz w:val="18"/>
          <w:szCs w:val="18"/>
          <w:lang w:val="es"/>
        </w:rPr>
      </w:pPr>
      <w:r w:rsidRPr="00B137DB">
        <w:rPr>
          <w:b/>
          <w:bCs/>
          <w:sz w:val="18"/>
          <w:szCs w:val="18"/>
          <w:lang w:val="es"/>
        </w:rPr>
        <w:t>Envío de confirmación de propuestas aceptadas: lunes 21 de septiembre.</w:t>
      </w:r>
    </w:p>
    <w:p w14:paraId="525841A1" w14:textId="509A30E8" w:rsidR="00CE40C8" w:rsidRDefault="00B137DB" w:rsidP="00B137DB">
      <w:pPr>
        <w:spacing w:after="0"/>
        <w:rPr>
          <w:u w:val="single"/>
        </w:rPr>
      </w:pPr>
      <w:r w:rsidRPr="00B137DB">
        <w:rPr>
          <w:sz w:val="18"/>
          <w:szCs w:val="18"/>
          <w:lang w:val="es"/>
        </w:rPr>
        <w:t xml:space="preserve">El evento se realizará el jueves 5 de noviembre de 2026 en la sala </w:t>
      </w:r>
      <w:proofErr w:type="spellStart"/>
      <w:r w:rsidRPr="00B137DB">
        <w:rPr>
          <w:sz w:val="18"/>
          <w:szCs w:val="18"/>
          <w:lang w:val="es"/>
        </w:rPr>
        <w:t>cowork</w:t>
      </w:r>
      <w:proofErr w:type="spellEnd"/>
      <w:r w:rsidRPr="00B137DB">
        <w:rPr>
          <w:sz w:val="18"/>
          <w:szCs w:val="18"/>
          <w:lang w:val="es"/>
        </w:rPr>
        <w:t>. Universidad Finis Terrae 09:00 a 19</w:t>
      </w:r>
      <w:r w:rsidR="00823AB8">
        <w:rPr>
          <w:sz w:val="18"/>
          <w:szCs w:val="18"/>
          <w:lang w:val="es"/>
        </w:rPr>
        <w:t>:</w:t>
      </w:r>
      <w:r w:rsidRPr="00B137DB">
        <w:rPr>
          <w:sz w:val="18"/>
          <w:szCs w:val="18"/>
          <w:lang w:val="es"/>
        </w:rPr>
        <w:t>00 hrs.</w:t>
      </w:r>
    </w:p>
    <w:p w14:paraId="1EDA94B5" w14:textId="77777777" w:rsidR="00CE40C8" w:rsidRDefault="00CE40C8">
      <w:pPr>
        <w:rPr>
          <w:u w:val="single"/>
        </w:rPr>
      </w:pPr>
    </w:p>
    <w:sectPr w:rsidR="00CE40C8">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32E5D" w14:textId="77777777" w:rsidR="00750257" w:rsidRDefault="00750257">
      <w:pPr>
        <w:spacing w:after="0" w:line="240" w:lineRule="auto"/>
      </w:pPr>
      <w:r>
        <w:separator/>
      </w:r>
    </w:p>
  </w:endnote>
  <w:endnote w:type="continuationSeparator" w:id="0">
    <w:p w14:paraId="2316A432" w14:textId="77777777" w:rsidR="00750257" w:rsidRDefault="00750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3F14F6B-53EC-4382-8182-99421293BBE7}"/>
    <w:embedBold r:id="rId2" w:fontKey="{1BC66C4E-96C2-4423-BDEB-70343509BC77}"/>
    <w:embedItalic r:id="rId3" w:fontKey="{45179FEA-5CC2-4E4A-BB3F-C8E00089C5F1}"/>
  </w:font>
  <w:font w:name="Georgia">
    <w:panose1 w:val="02040502050405020303"/>
    <w:charset w:val="00"/>
    <w:family w:val="roman"/>
    <w:pitch w:val="variable"/>
    <w:sig w:usb0="00000287" w:usb1="00000000" w:usb2="00000000" w:usb3="00000000" w:csb0="0000009F" w:csb1="00000000"/>
    <w:embedItalic r:id="rId4" w:fontKey="{E5B22562-0A63-4E0F-8020-F887386A3473}"/>
  </w:font>
  <w:font w:name="Arimo">
    <w:charset w:val="00"/>
    <w:family w:val="auto"/>
    <w:pitch w:val="default"/>
    <w:embedRegular r:id="rId5" w:fontKey="{0E198236-AAFA-4AEF-B27A-9404650C7EA0}"/>
  </w:font>
  <w:font w:name="Cambria">
    <w:panose1 w:val="02040503050406030204"/>
    <w:charset w:val="00"/>
    <w:family w:val="roman"/>
    <w:pitch w:val="variable"/>
    <w:sig w:usb0="E00006FF" w:usb1="420024FF" w:usb2="02000000" w:usb3="00000000" w:csb0="0000019F" w:csb1="00000000"/>
    <w:embedRegular r:id="rId6" w:fontKey="{A1E369FE-9C74-4A8D-A919-193447C0A2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FB7FE" w14:textId="77777777" w:rsidR="00CE40C8" w:rsidRDefault="00CE40C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05A1" w14:textId="77777777" w:rsidR="00CE40C8" w:rsidRDefault="00000000">
    <w:pPr>
      <w:pBdr>
        <w:top w:val="nil"/>
        <w:left w:val="nil"/>
        <w:bottom w:val="nil"/>
        <w:right w:val="nil"/>
        <w:between w:val="nil"/>
      </w:pBdr>
      <w:tabs>
        <w:tab w:val="center" w:pos="4419"/>
        <w:tab w:val="right" w:pos="8838"/>
      </w:tabs>
      <w:spacing w:after="0" w:line="240" w:lineRule="auto"/>
      <w:jc w:val="right"/>
      <w:rPr>
        <w:rFonts w:ascii="Arimo" w:eastAsia="Arimo" w:hAnsi="Arimo" w:cs="Arimo"/>
        <w:color w:val="00B7EB"/>
      </w:rPr>
    </w:pPr>
    <w:r>
      <w:rPr>
        <w:rFonts w:ascii="Arimo" w:eastAsia="Arimo" w:hAnsi="Arimo" w:cs="Arimo"/>
        <w:color w:val="00B7EB"/>
      </w:rPr>
      <w:t xml:space="preserve"> El ser humano al centro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238A" w14:textId="77777777" w:rsidR="00CE40C8" w:rsidRDefault="00CE40C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35853" w14:textId="77777777" w:rsidR="00750257" w:rsidRDefault="00750257">
      <w:pPr>
        <w:spacing w:after="0" w:line="240" w:lineRule="auto"/>
      </w:pPr>
      <w:r>
        <w:separator/>
      </w:r>
    </w:p>
  </w:footnote>
  <w:footnote w:type="continuationSeparator" w:id="0">
    <w:p w14:paraId="69C5868A" w14:textId="77777777" w:rsidR="00750257" w:rsidRDefault="00750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ED14" w14:textId="77777777" w:rsidR="00CE40C8" w:rsidRDefault="00CE40C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841AE" w14:textId="77777777" w:rsidR="00CE40C8" w:rsidRDefault="00CE40C8">
    <w:pPr>
      <w:pBdr>
        <w:top w:val="nil"/>
        <w:left w:val="nil"/>
        <w:bottom w:val="nil"/>
        <w:right w:val="nil"/>
        <w:between w:val="nil"/>
      </w:pBdr>
      <w:tabs>
        <w:tab w:val="center" w:pos="4419"/>
        <w:tab w:val="right" w:pos="8838"/>
      </w:tabs>
      <w:spacing w:after="0" w:line="240" w:lineRule="auto"/>
      <w:rPr>
        <w:color w:val="000000"/>
      </w:rPr>
    </w:pPr>
  </w:p>
  <w:p w14:paraId="0E0C7048" w14:textId="77777777" w:rsidR="00CE40C8"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10CB65FA" wp14:editId="6613EFE6">
          <wp:simplePos x="0" y="0"/>
          <wp:positionH relativeFrom="column">
            <wp:posOffset>-638295</wp:posOffset>
          </wp:positionH>
          <wp:positionV relativeFrom="paragraph">
            <wp:posOffset>-156209</wp:posOffset>
          </wp:positionV>
          <wp:extent cx="1581150" cy="53467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81150" cy="53467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1AA9" w14:textId="77777777" w:rsidR="00CE40C8" w:rsidRDefault="00CE40C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00C2A"/>
    <w:multiLevelType w:val="multilevel"/>
    <w:tmpl w:val="9C642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D865B7"/>
    <w:multiLevelType w:val="multilevel"/>
    <w:tmpl w:val="E61C6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91741385">
    <w:abstractNumId w:val="1"/>
  </w:num>
  <w:num w:numId="2" w16cid:durableId="478811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0C8"/>
    <w:rsid w:val="00692033"/>
    <w:rsid w:val="00750257"/>
    <w:rsid w:val="00823AB8"/>
    <w:rsid w:val="00B137DB"/>
    <w:rsid w:val="00CE40C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977B"/>
  <w15:docId w15:val="{35065EAF-2BF5-4558-8B10-0D7E9D50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casanueva@uft.c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nX2gQPx4It3tCsATOneFpllSA==">CgMxLjA4AHIhMWhHTXBocUdYbUowLWZLa0d2YWdDdmtHZ2o1TVV5Y19j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2741</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Christopher Williams Padilla Mansilla</cp:lastModifiedBy>
  <cp:revision>4</cp:revision>
  <dcterms:created xsi:type="dcterms:W3CDTF">2026-08-05T16:52:00Z</dcterms:created>
  <dcterms:modified xsi:type="dcterms:W3CDTF">2026-08-05T16:53:00Z</dcterms:modified>
</cp:coreProperties>
</file>